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DCE4C" w14:textId="77777777" w:rsidR="008E2324" w:rsidRPr="00CD62D1" w:rsidRDefault="00CD62D1" w:rsidP="00CD62D1">
      <w:pPr>
        <w:pStyle w:val="Pa6"/>
        <w:jc w:val="center"/>
        <w:rPr>
          <w:rFonts w:asciiTheme="majorHAnsi" w:hAnsiTheme="majorHAnsi" w:cs="Frutiger 57Cn"/>
          <w:caps/>
          <w:color w:val="024DA2"/>
          <w:sz w:val="28"/>
          <w:szCs w:val="28"/>
        </w:rPr>
      </w:pPr>
      <w:bookmarkStart w:id="0" w:name="_Toc409792484"/>
      <w:r>
        <w:rPr>
          <w:rStyle w:val="Heading1Char"/>
          <w:rFonts w:cs="Arial"/>
          <w:caps/>
          <w:color w:val="024DA2"/>
        </w:rPr>
        <w:t xml:space="preserve">APPENDIX </w:t>
      </w:r>
      <w:bookmarkStart w:id="1" w:name="_GoBack"/>
      <w:r>
        <w:rPr>
          <w:rStyle w:val="Heading1Char"/>
          <w:rFonts w:cs="Arial"/>
          <w:caps/>
          <w:color w:val="024DA2"/>
        </w:rPr>
        <w:t xml:space="preserve">F1: </w:t>
      </w:r>
      <w:r w:rsidR="00E53EF0" w:rsidRPr="00CD62D1">
        <w:rPr>
          <w:rStyle w:val="Heading1Char"/>
          <w:rFonts w:cs="Arial"/>
          <w:caps/>
          <w:color w:val="024DA2"/>
        </w:rPr>
        <w:t>Sample Fraud Control Policy Framework</w:t>
      </w:r>
      <w:bookmarkEnd w:id="0"/>
      <w:bookmarkEnd w:id="1"/>
    </w:p>
    <w:p w14:paraId="3DE036AA" w14:textId="77777777" w:rsidR="00CD62D1" w:rsidRPr="00CD62D1" w:rsidRDefault="00CD62D1" w:rsidP="00CD62D1">
      <w:pPr>
        <w:widowControl w:val="0"/>
        <w:autoSpaceDE w:val="0"/>
        <w:autoSpaceDN w:val="0"/>
        <w:adjustRightInd w:val="0"/>
        <w:ind w:left="630" w:right="720"/>
        <w:rPr>
          <w:rFonts w:asciiTheme="majorHAnsi" w:hAnsiTheme="majorHAnsi" w:cs="Frutiger 55 Roman"/>
          <w:color w:val="000000"/>
        </w:rPr>
      </w:pPr>
    </w:p>
    <w:p w14:paraId="5D9DF7AA" w14:textId="77777777" w:rsidR="00CD62D1" w:rsidRDefault="00CD62D1" w:rsidP="00CD62D1">
      <w:pPr>
        <w:pStyle w:val="Default"/>
        <w:ind w:left="630" w:right="720"/>
        <w:jc w:val="center"/>
        <w:rPr>
          <w:rFonts w:asciiTheme="majorHAnsi" w:eastAsiaTheme="minorEastAsia" w:hAnsiTheme="majorHAnsi" w:cs="Times New Roman"/>
          <w:i/>
          <w:iCs/>
          <w:color w:val="211D1E"/>
        </w:rPr>
      </w:pPr>
      <w:r>
        <w:rPr>
          <w:rFonts w:asciiTheme="majorHAnsi" w:eastAsiaTheme="minorEastAsia" w:hAnsiTheme="majorHAnsi" w:cs="Times New Roman"/>
          <w:i/>
          <w:iCs/>
          <w:color w:val="211D1E"/>
        </w:rPr>
        <w:t>The information in this appendix can serve as an outline of the key elements to be considered in drafting a fraud control policy.</w:t>
      </w:r>
    </w:p>
    <w:p w14:paraId="103321C8" w14:textId="77777777" w:rsidR="00CD62D1" w:rsidRPr="00CD62D1" w:rsidRDefault="00CD62D1" w:rsidP="00CD62D1">
      <w:pPr>
        <w:pStyle w:val="Default"/>
        <w:ind w:left="630" w:right="720"/>
        <w:jc w:val="center"/>
        <w:rPr>
          <w:rFonts w:asciiTheme="majorHAnsi" w:hAnsiTheme="majorHAnsi"/>
        </w:rPr>
      </w:pPr>
    </w:p>
    <w:p w14:paraId="14A3B426" w14:textId="77777777" w:rsidR="008E2324" w:rsidRPr="00CD62D1" w:rsidRDefault="00BC14E6" w:rsidP="008E2324">
      <w:pPr>
        <w:pStyle w:val="Pa2"/>
        <w:widowControl/>
        <w:numPr>
          <w:ilvl w:val="0"/>
          <w:numId w:val="1"/>
        </w:numPr>
        <w:spacing w:line="240" w:lineRule="auto"/>
        <w:ind w:left="36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Policy Statement</w:t>
      </w:r>
    </w:p>
    <w:p w14:paraId="6742DC03" w14:textId="77777777" w:rsidR="00BC14E6" w:rsidRPr="00CD62D1" w:rsidRDefault="00BC14E6" w:rsidP="00BC14E6">
      <w:pPr>
        <w:pStyle w:val="Pa2"/>
        <w:widowControl/>
        <w:numPr>
          <w:ilvl w:val="0"/>
          <w:numId w:val="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Management’s statement regarding fraud tolerance or attitude about fraud</w:t>
      </w:r>
    </w:p>
    <w:p w14:paraId="0AFF4080" w14:textId="77777777" w:rsidR="00BC14E6" w:rsidRPr="00CD62D1" w:rsidRDefault="00BC14E6" w:rsidP="001E487D">
      <w:pPr>
        <w:pStyle w:val="Pa2"/>
        <w:widowControl/>
        <w:numPr>
          <w:ilvl w:val="0"/>
          <w:numId w:val="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Management’s commitment to ethical business practices</w:t>
      </w:r>
    </w:p>
    <w:p w14:paraId="7D5A2711" w14:textId="77777777" w:rsidR="00BC14E6" w:rsidRPr="00CD62D1" w:rsidRDefault="00BC14E6" w:rsidP="00BC14E6">
      <w:pPr>
        <w:pStyle w:val="Default"/>
        <w:ind w:left="720"/>
        <w:rPr>
          <w:rFonts w:asciiTheme="majorHAnsi" w:hAnsiTheme="majorHAnsi"/>
        </w:rPr>
      </w:pPr>
    </w:p>
    <w:p w14:paraId="0699BCB4" w14:textId="77777777" w:rsidR="00BC14E6" w:rsidRPr="00CD62D1" w:rsidRDefault="00BC14E6" w:rsidP="00BC14E6">
      <w:pPr>
        <w:pStyle w:val="Pa2"/>
        <w:widowControl/>
        <w:numPr>
          <w:ilvl w:val="0"/>
          <w:numId w:val="1"/>
        </w:numPr>
        <w:spacing w:line="240" w:lineRule="auto"/>
        <w:ind w:left="36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Definitions</w:t>
      </w:r>
    </w:p>
    <w:p w14:paraId="52E8ECE1" w14:textId="77777777" w:rsidR="00BC14E6" w:rsidRPr="00CD62D1" w:rsidRDefault="00BC14E6" w:rsidP="00BC14E6">
      <w:pPr>
        <w:pStyle w:val="Pa2"/>
        <w:widowControl/>
        <w:numPr>
          <w:ilvl w:val="0"/>
          <w:numId w:val="13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Definition of fraud</w:t>
      </w:r>
    </w:p>
    <w:p w14:paraId="4CD44303" w14:textId="77777777" w:rsidR="0021630A" w:rsidRPr="00CD62D1" w:rsidRDefault="008B6AD6" w:rsidP="0021630A">
      <w:pPr>
        <w:pStyle w:val="Default"/>
        <w:numPr>
          <w:ilvl w:val="0"/>
          <w:numId w:val="13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D</w:t>
      </w:r>
      <w:r w:rsidR="0021630A" w:rsidRPr="00CD62D1">
        <w:rPr>
          <w:rFonts w:asciiTheme="majorHAnsi" w:hAnsiTheme="majorHAnsi" w:cs="Arial"/>
        </w:rPr>
        <w:t xml:space="preserve">efinitions of </w:t>
      </w:r>
      <w:r w:rsidRPr="00CD62D1">
        <w:rPr>
          <w:rFonts w:asciiTheme="majorHAnsi" w:hAnsiTheme="majorHAnsi" w:cs="Arial"/>
        </w:rPr>
        <w:t>other referenced terms</w:t>
      </w:r>
    </w:p>
    <w:p w14:paraId="061BAAAD" w14:textId="77777777" w:rsidR="008E2324" w:rsidRPr="00CD62D1" w:rsidRDefault="008E2324" w:rsidP="008E2324">
      <w:pPr>
        <w:pStyle w:val="Pa2"/>
        <w:widowControl/>
        <w:spacing w:line="240" w:lineRule="auto"/>
        <w:rPr>
          <w:rFonts w:asciiTheme="majorHAnsi" w:hAnsiTheme="majorHAnsi" w:cs="Arial"/>
          <w:color w:val="221E1F"/>
        </w:rPr>
      </w:pPr>
    </w:p>
    <w:p w14:paraId="6E6F677E" w14:textId="77777777" w:rsidR="008E2324" w:rsidRPr="00CD62D1" w:rsidRDefault="00252137" w:rsidP="008E2324">
      <w:pPr>
        <w:pStyle w:val="Pa2"/>
        <w:widowControl/>
        <w:numPr>
          <w:ilvl w:val="0"/>
          <w:numId w:val="1"/>
        </w:numPr>
        <w:spacing w:line="240" w:lineRule="auto"/>
        <w:ind w:left="36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Control Strategy</w:t>
      </w:r>
    </w:p>
    <w:p w14:paraId="42E232E7" w14:textId="77777777" w:rsidR="00BC14E6" w:rsidRPr="00CD62D1" w:rsidRDefault="00BF0237" w:rsidP="00BC14E6">
      <w:pPr>
        <w:pStyle w:val="Pa2"/>
        <w:widowControl/>
        <w:numPr>
          <w:ilvl w:val="0"/>
          <w:numId w:val="5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Roles and responsibilities</w:t>
      </w:r>
    </w:p>
    <w:p w14:paraId="7AC79192" w14:textId="77777777" w:rsidR="000C0566" w:rsidRPr="00CD62D1" w:rsidRDefault="000C0566" w:rsidP="000C0566">
      <w:pPr>
        <w:pStyle w:val="Default"/>
        <w:numPr>
          <w:ilvl w:val="1"/>
          <w:numId w:val="5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Board of Directors</w:t>
      </w:r>
    </w:p>
    <w:p w14:paraId="55287D15" w14:textId="77777777" w:rsidR="000C0566" w:rsidRPr="00CD62D1" w:rsidRDefault="000C0566" w:rsidP="000C0566">
      <w:pPr>
        <w:pStyle w:val="Default"/>
        <w:numPr>
          <w:ilvl w:val="1"/>
          <w:numId w:val="5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Executive or Senior Management</w:t>
      </w:r>
    </w:p>
    <w:p w14:paraId="0D536FF7" w14:textId="77777777" w:rsidR="00BF0237" w:rsidRPr="00CD62D1" w:rsidRDefault="00BF0237" w:rsidP="00BF0237">
      <w:pPr>
        <w:pStyle w:val="Default"/>
        <w:numPr>
          <w:ilvl w:val="2"/>
          <w:numId w:val="5"/>
        </w:numPr>
        <w:ind w:left="1440" w:hanging="36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Fraud Control Officer</w:t>
      </w:r>
    </w:p>
    <w:p w14:paraId="54FB0855" w14:textId="77777777" w:rsidR="000C0566" w:rsidRPr="00CD62D1" w:rsidRDefault="000C0566" w:rsidP="000C0566">
      <w:pPr>
        <w:pStyle w:val="Default"/>
        <w:numPr>
          <w:ilvl w:val="1"/>
          <w:numId w:val="5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Legal Department</w:t>
      </w:r>
    </w:p>
    <w:p w14:paraId="3D7B8829" w14:textId="77777777" w:rsidR="000C0566" w:rsidRPr="00CD62D1" w:rsidRDefault="000C0566" w:rsidP="000C0566">
      <w:pPr>
        <w:pStyle w:val="Default"/>
        <w:numPr>
          <w:ilvl w:val="1"/>
          <w:numId w:val="5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Human Resources Department</w:t>
      </w:r>
    </w:p>
    <w:p w14:paraId="47235A38" w14:textId="77777777" w:rsidR="000C0566" w:rsidRPr="00CD62D1" w:rsidRDefault="000C0566" w:rsidP="000C0566">
      <w:pPr>
        <w:pStyle w:val="Default"/>
        <w:numPr>
          <w:ilvl w:val="1"/>
          <w:numId w:val="5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Internal Audit Department</w:t>
      </w:r>
    </w:p>
    <w:p w14:paraId="32490191" w14:textId="77777777" w:rsidR="000C0566" w:rsidRPr="00CD62D1" w:rsidRDefault="000C0566" w:rsidP="000C0566">
      <w:pPr>
        <w:pStyle w:val="Default"/>
        <w:numPr>
          <w:ilvl w:val="1"/>
          <w:numId w:val="5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Other management and employees</w:t>
      </w:r>
    </w:p>
    <w:p w14:paraId="35CDEEBE" w14:textId="77777777" w:rsidR="001E487D" w:rsidRPr="00CD62D1" w:rsidRDefault="001E487D" w:rsidP="001E487D">
      <w:pPr>
        <w:pStyle w:val="Pa2"/>
        <w:widowControl/>
        <w:numPr>
          <w:ilvl w:val="0"/>
          <w:numId w:val="5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 xml:space="preserve">Elements of management’s fraud risk management program </w:t>
      </w:r>
    </w:p>
    <w:p w14:paraId="384CCB69" w14:textId="77777777" w:rsidR="001E487D" w:rsidRPr="00CD62D1" w:rsidRDefault="001E487D" w:rsidP="00252137">
      <w:pPr>
        <w:pStyle w:val="Pa2"/>
        <w:widowControl/>
        <w:numPr>
          <w:ilvl w:val="1"/>
          <w:numId w:val="7"/>
        </w:numPr>
        <w:spacing w:line="240" w:lineRule="auto"/>
        <w:ind w:left="1080" w:hanging="18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risk governance</w:t>
      </w:r>
    </w:p>
    <w:p w14:paraId="7524538F" w14:textId="77777777" w:rsidR="001E487D" w:rsidRPr="00CD62D1" w:rsidRDefault="001E487D" w:rsidP="00252137">
      <w:pPr>
        <w:pStyle w:val="Pa2"/>
        <w:widowControl/>
        <w:numPr>
          <w:ilvl w:val="1"/>
          <w:numId w:val="7"/>
        </w:numPr>
        <w:spacing w:line="240" w:lineRule="auto"/>
        <w:ind w:left="1080" w:hanging="18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risk assessment</w:t>
      </w:r>
    </w:p>
    <w:p w14:paraId="0DA67BAE" w14:textId="77777777" w:rsidR="001E487D" w:rsidRPr="00CD62D1" w:rsidRDefault="001E487D" w:rsidP="00252137">
      <w:pPr>
        <w:pStyle w:val="Pa2"/>
        <w:widowControl/>
        <w:numPr>
          <w:ilvl w:val="1"/>
          <w:numId w:val="7"/>
        </w:numPr>
        <w:spacing w:line="240" w:lineRule="auto"/>
        <w:ind w:left="1080" w:hanging="18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prevention</w:t>
      </w:r>
      <w:r w:rsidR="00252137" w:rsidRPr="00CD62D1">
        <w:rPr>
          <w:rFonts w:asciiTheme="majorHAnsi" w:hAnsiTheme="majorHAnsi" w:cs="Arial"/>
          <w:color w:val="221E1F"/>
        </w:rPr>
        <w:t xml:space="preserve"> and detection</w:t>
      </w:r>
    </w:p>
    <w:p w14:paraId="46E376E3" w14:textId="77777777" w:rsidR="00252137" w:rsidRPr="00CD62D1" w:rsidRDefault="00252137" w:rsidP="00252137">
      <w:pPr>
        <w:pStyle w:val="Pa2"/>
        <w:widowControl/>
        <w:numPr>
          <w:ilvl w:val="1"/>
          <w:numId w:val="7"/>
        </w:numPr>
        <w:spacing w:line="240" w:lineRule="auto"/>
        <w:ind w:left="1080" w:hanging="18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i</w:t>
      </w:r>
      <w:r w:rsidR="001E487D" w:rsidRPr="00CD62D1">
        <w:rPr>
          <w:rFonts w:asciiTheme="majorHAnsi" w:hAnsiTheme="majorHAnsi" w:cs="Arial"/>
          <w:color w:val="221E1F"/>
        </w:rPr>
        <w:t>nvestigations</w:t>
      </w:r>
      <w:r w:rsidRPr="00CD62D1">
        <w:rPr>
          <w:rFonts w:asciiTheme="majorHAnsi" w:hAnsiTheme="majorHAnsi" w:cs="Arial"/>
          <w:color w:val="221E1F"/>
        </w:rPr>
        <w:t xml:space="preserve"> and corrective action</w:t>
      </w:r>
    </w:p>
    <w:p w14:paraId="1F54B08B" w14:textId="77777777" w:rsidR="009A09FE" w:rsidRPr="00CD62D1" w:rsidRDefault="00252137" w:rsidP="009A09FE">
      <w:pPr>
        <w:pStyle w:val="Default"/>
        <w:numPr>
          <w:ilvl w:val="1"/>
          <w:numId w:val="7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Fraud monitoring</w:t>
      </w:r>
    </w:p>
    <w:p w14:paraId="0F058251" w14:textId="77777777" w:rsidR="009A09FE" w:rsidRPr="00CD62D1" w:rsidRDefault="009A09FE" w:rsidP="009A09FE">
      <w:pPr>
        <w:pStyle w:val="Pa2"/>
        <w:widowControl/>
        <w:numPr>
          <w:ilvl w:val="0"/>
          <w:numId w:val="5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Relationship to Code of Business Conduct and other relevant corporate policies (i.e., employee handbook, conflicts of interests, FCPA / anti-corruption compliance policy, expense reimbursements, etc.)</w:t>
      </w:r>
    </w:p>
    <w:p w14:paraId="61650B48" w14:textId="77777777" w:rsidR="008E2324" w:rsidRPr="00CD62D1" w:rsidRDefault="008E2324" w:rsidP="008E2324">
      <w:pPr>
        <w:pStyle w:val="Pa2"/>
        <w:widowControl/>
        <w:spacing w:line="240" w:lineRule="auto"/>
        <w:rPr>
          <w:rFonts w:asciiTheme="majorHAnsi" w:hAnsiTheme="majorHAnsi" w:cs="Arial"/>
          <w:color w:val="221E1F"/>
        </w:rPr>
      </w:pPr>
    </w:p>
    <w:p w14:paraId="7C6EA949" w14:textId="77777777" w:rsidR="008E2324" w:rsidRPr="00CD62D1" w:rsidRDefault="00252137" w:rsidP="008E2324">
      <w:pPr>
        <w:pStyle w:val="Pa2"/>
        <w:widowControl/>
        <w:numPr>
          <w:ilvl w:val="0"/>
          <w:numId w:val="1"/>
        </w:numPr>
        <w:spacing w:line="240" w:lineRule="auto"/>
        <w:ind w:left="36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Risk Assessment</w:t>
      </w:r>
    </w:p>
    <w:p w14:paraId="3C615772" w14:textId="77777777" w:rsidR="008E2324" w:rsidRPr="00CD62D1" w:rsidRDefault="00252137" w:rsidP="00252137">
      <w:pPr>
        <w:pStyle w:val="Pa2"/>
        <w:widowControl/>
        <w:numPr>
          <w:ilvl w:val="0"/>
          <w:numId w:val="9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risk assessment objectives</w:t>
      </w:r>
    </w:p>
    <w:p w14:paraId="7D64890D" w14:textId="77777777" w:rsidR="008E2324" w:rsidRPr="00CD62D1" w:rsidRDefault="00252137" w:rsidP="00252137">
      <w:pPr>
        <w:pStyle w:val="Pa2"/>
        <w:widowControl/>
        <w:numPr>
          <w:ilvl w:val="0"/>
          <w:numId w:val="9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risk assessment methodology</w:t>
      </w:r>
    </w:p>
    <w:p w14:paraId="14EAB35B" w14:textId="77777777" w:rsidR="008E2324" w:rsidRPr="00CD62D1" w:rsidRDefault="00252137" w:rsidP="00252137">
      <w:pPr>
        <w:pStyle w:val="Pa2"/>
        <w:widowControl/>
        <w:numPr>
          <w:ilvl w:val="0"/>
          <w:numId w:val="9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risk assessment participants</w:t>
      </w:r>
    </w:p>
    <w:p w14:paraId="0AEF78D0" w14:textId="77777777" w:rsidR="008E2324" w:rsidRPr="00CD62D1" w:rsidRDefault="00252137" w:rsidP="00252137">
      <w:pPr>
        <w:pStyle w:val="Pa2"/>
        <w:widowControl/>
        <w:numPr>
          <w:ilvl w:val="0"/>
          <w:numId w:val="9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Management’s response to fraud risk assessment results</w:t>
      </w:r>
    </w:p>
    <w:p w14:paraId="1FFA735E" w14:textId="77777777" w:rsidR="008E2324" w:rsidRPr="00CD62D1" w:rsidRDefault="008E2324" w:rsidP="008E2324">
      <w:pPr>
        <w:pStyle w:val="Pa2"/>
        <w:widowControl/>
        <w:spacing w:line="240" w:lineRule="auto"/>
        <w:rPr>
          <w:rFonts w:asciiTheme="majorHAnsi" w:hAnsiTheme="majorHAnsi" w:cs="Arial"/>
          <w:color w:val="221E1F"/>
        </w:rPr>
      </w:pPr>
    </w:p>
    <w:p w14:paraId="6628B2A4" w14:textId="77777777" w:rsidR="008E2324" w:rsidRPr="00CD62D1" w:rsidRDefault="009A09FE" w:rsidP="008E2324">
      <w:pPr>
        <w:pStyle w:val="Pa2"/>
        <w:widowControl/>
        <w:numPr>
          <w:ilvl w:val="0"/>
          <w:numId w:val="1"/>
        </w:numPr>
        <w:spacing w:line="240" w:lineRule="auto"/>
        <w:ind w:left="36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Prevention and Detection Controls</w:t>
      </w:r>
    </w:p>
    <w:p w14:paraId="425A2115" w14:textId="77777777" w:rsidR="009833CC" w:rsidRPr="00CD62D1" w:rsidRDefault="009833CC" w:rsidP="00790CC6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Business process control activities</w:t>
      </w:r>
    </w:p>
    <w:p w14:paraId="16B404DD" w14:textId="77777777" w:rsidR="009833CC" w:rsidRPr="00CD62D1" w:rsidRDefault="009833CC" w:rsidP="00790CC6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Physical access control activities</w:t>
      </w:r>
    </w:p>
    <w:p w14:paraId="132B4AC9" w14:textId="77777777" w:rsidR="009833CC" w:rsidRPr="00CD62D1" w:rsidRDefault="009833CC" w:rsidP="00790CC6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Logical access control activities</w:t>
      </w:r>
    </w:p>
    <w:p w14:paraId="7EE0B2D8" w14:textId="77777777" w:rsidR="009833CC" w:rsidRPr="00CD62D1" w:rsidRDefault="009833CC" w:rsidP="00790CC6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Transaction control activities</w:t>
      </w:r>
    </w:p>
    <w:p w14:paraId="0D3A00A8" w14:textId="77777777" w:rsidR="009833CC" w:rsidRPr="00CD62D1" w:rsidRDefault="009833CC" w:rsidP="00790CC6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Technological control activities</w:t>
      </w:r>
    </w:p>
    <w:p w14:paraId="0537EDFF" w14:textId="77777777" w:rsidR="00790CC6" w:rsidRPr="00CD62D1" w:rsidRDefault="00790CC6" w:rsidP="00790CC6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lastRenderedPageBreak/>
        <w:t>Conflicts of Interest</w:t>
      </w:r>
    </w:p>
    <w:p w14:paraId="4DB2159F" w14:textId="77777777" w:rsidR="00790CC6" w:rsidRPr="00CD62D1" w:rsidRDefault="00790CC6" w:rsidP="00790CC6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Human</w:t>
      </w:r>
      <w:r w:rsidR="00AD5EF3" w:rsidRPr="00CD62D1">
        <w:rPr>
          <w:rFonts w:asciiTheme="majorHAnsi" w:hAnsiTheme="majorHAnsi" w:cs="Arial"/>
          <w:color w:val="221E1F"/>
        </w:rPr>
        <w:t xml:space="preserve"> Resource p</w:t>
      </w:r>
      <w:r w:rsidRPr="00CD62D1">
        <w:rPr>
          <w:rFonts w:asciiTheme="majorHAnsi" w:hAnsiTheme="majorHAnsi" w:cs="Arial"/>
          <w:color w:val="221E1F"/>
        </w:rPr>
        <w:t>rocedures</w:t>
      </w:r>
    </w:p>
    <w:p w14:paraId="43F44143" w14:textId="77777777" w:rsidR="00790CC6" w:rsidRPr="00CD62D1" w:rsidRDefault="008E2324" w:rsidP="00790CC6">
      <w:pPr>
        <w:pStyle w:val="Pa2"/>
        <w:widowControl/>
        <w:numPr>
          <w:ilvl w:val="1"/>
          <w:numId w:val="14"/>
        </w:numPr>
        <w:spacing w:line="240" w:lineRule="auto"/>
        <w:ind w:left="1080" w:hanging="18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Pre-employment screening</w:t>
      </w:r>
    </w:p>
    <w:p w14:paraId="0C7892A4" w14:textId="77777777" w:rsidR="00790CC6" w:rsidRPr="00CD62D1" w:rsidRDefault="00790CC6" w:rsidP="00790CC6">
      <w:pPr>
        <w:pStyle w:val="Default"/>
        <w:numPr>
          <w:ilvl w:val="1"/>
          <w:numId w:val="14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Periodic screening activities</w:t>
      </w:r>
    </w:p>
    <w:p w14:paraId="089E5541" w14:textId="77777777" w:rsidR="00790CC6" w:rsidRPr="00CD62D1" w:rsidRDefault="009833CC" w:rsidP="00790CC6">
      <w:pPr>
        <w:pStyle w:val="Default"/>
        <w:numPr>
          <w:ilvl w:val="1"/>
          <w:numId w:val="14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Compensation and p</w:t>
      </w:r>
      <w:r w:rsidR="00790CC6" w:rsidRPr="00CD62D1">
        <w:rPr>
          <w:rFonts w:asciiTheme="majorHAnsi" w:hAnsiTheme="majorHAnsi" w:cs="Arial"/>
        </w:rPr>
        <w:t xml:space="preserve">erformance measures </w:t>
      </w:r>
    </w:p>
    <w:p w14:paraId="3D395084" w14:textId="77777777" w:rsidR="009833CC" w:rsidRPr="00CD62D1" w:rsidRDefault="009833CC" w:rsidP="009833CC">
      <w:pPr>
        <w:pStyle w:val="Default"/>
        <w:numPr>
          <w:ilvl w:val="1"/>
          <w:numId w:val="14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 xml:space="preserve">Training </w:t>
      </w:r>
    </w:p>
    <w:p w14:paraId="5AD2B0BE" w14:textId="77777777" w:rsidR="00790CC6" w:rsidRPr="00CD62D1" w:rsidRDefault="00790CC6" w:rsidP="00790CC6">
      <w:pPr>
        <w:pStyle w:val="Default"/>
        <w:numPr>
          <w:ilvl w:val="1"/>
          <w:numId w:val="14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Exit interviews</w:t>
      </w:r>
    </w:p>
    <w:p w14:paraId="5FD34C3A" w14:textId="77777777" w:rsidR="00AD5EF3" w:rsidRPr="00CD62D1" w:rsidRDefault="00AD5EF3" w:rsidP="00AD5EF3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Segregation of duties</w:t>
      </w:r>
    </w:p>
    <w:p w14:paraId="482039CB" w14:textId="77777777" w:rsidR="00E92C44" w:rsidRPr="00CD62D1" w:rsidRDefault="00AD5EF3" w:rsidP="00790CC6">
      <w:pPr>
        <w:pStyle w:val="Pa2"/>
        <w:widowControl/>
        <w:numPr>
          <w:ilvl w:val="0"/>
          <w:numId w:val="14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Authority and responsibility limits</w:t>
      </w:r>
    </w:p>
    <w:p w14:paraId="1755E9BB" w14:textId="77777777" w:rsidR="00E47C7D" w:rsidRPr="00CD62D1" w:rsidRDefault="00AD5EF3" w:rsidP="00E47C7D">
      <w:pPr>
        <w:pStyle w:val="Default"/>
        <w:numPr>
          <w:ilvl w:val="0"/>
          <w:numId w:val="14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Fraud Detection p</w:t>
      </w:r>
      <w:r w:rsidR="00E47C7D" w:rsidRPr="00CD62D1">
        <w:rPr>
          <w:rFonts w:asciiTheme="majorHAnsi" w:hAnsiTheme="majorHAnsi" w:cs="Arial"/>
        </w:rPr>
        <w:t>rocedures</w:t>
      </w:r>
    </w:p>
    <w:p w14:paraId="55F45B43" w14:textId="77777777" w:rsidR="008E2324" w:rsidRPr="00CD62D1" w:rsidRDefault="00AD5EF3" w:rsidP="00AD5EF3">
      <w:pPr>
        <w:pStyle w:val="Pa2"/>
        <w:widowControl/>
        <w:numPr>
          <w:ilvl w:val="0"/>
          <w:numId w:val="17"/>
        </w:numPr>
        <w:spacing w:line="240" w:lineRule="auto"/>
        <w:ind w:hanging="18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Data analytics</w:t>
      </w:r>
    </w:p>
    <w:p w14:paraId="1A5DF940" w14:textId="77777777" w:rsidR="00AD5EF3" w:rsidRPr="00CD62D1" w:rsidRDefault="00AD5EF3" w:rsidP="00AD5EF3">
      <w:pPr>
        <w:pStyle w:val="Default"/>
        <w:numPr>
          <w:ilvl w:val="0"/>
          <w:numId w:val="17"/>
        </w:numPr>
        <w:ind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Whistleblower systems</w:t>
      </w:r>
    </w:p>
    <w:p w14:paraId="222FD2E9" w14:textId="77777777" w:rsidR="00AD5EF3" w:rsidRPr="00CD62D1" w:rsidRDefault="00AD5EF3" w:rsidP="00AD5EF3">
      <w:pPr>
        <w:pStyle w:val="Default"/>
        <w:rPr>
          <w:rFonts w:asciiTheme="majorHAnsi" w:hAnsiTheme="majorHAnsi"/>
        </w:rPr>
      </w:pPr>
    </w:p>
    <w:p w14:paraId="1FBAF323" w14:textId="77777777" w:rsidR="00790CC6" w:rsidRPr="00CD62D1" w:rsidRDefault="00790CC6" w:rsidP="00790CC6">
      <w:pPr>
        <w:pStyle w:val="Pa2"/>
        <w:widowControl/>
        <w:numPr>
          <w:ilvl w:val="0"/>
          <w:numId w:val="1"/>
        </w:numPr>
        <w:spacing w:line="240" w:lineRule="auto"/>
        <w:ind w:left="36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Reporting</w:t>
      </w:r>
    </w:p>
    <w:p w14:paraId="620E4BEC" w14:textId="77777777" w:rsidR="00790CC6" w:rsidRPr="00CD62D1" w:rsidRDefault="00790CC6" w:rsidP="00790CC6">
      <w:pPr>
        <w:pStyle w:val="Pa2"/>
        <w:widowControl/>
        <w:numPr>
          <w:ilvl w:val="0"/>
          <w:numId w:val="10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Reporting requirements for management and employees</w:t>
      </w:r>
    </w:p>
    <w:p w14:paraId="59837E24" w14:textId="77777777" w:rsidR="00790CC6" w:rsidRPr="00CD62D1" w:rsidRDefault="00790CC6" w:rsidP="00790CC6">
      <w:pPr>
        <w:pStyle w:val="Pa2"/>
        <w:widowControl/>
        <w:numPr>
          <w:ilvl w:val="1"/>
          <w:numId w:val="11"/>
        </w:numPr>
        <w:spacing w:line="240" w:lineRule="auto"/>
        <w:ind w:left="1080" w:hanging="18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Examples of types of issues to be reported</w:t>
      </w:r>
    </w:p>
    <w:p w14:paraId="248B0A04" w14:textId="77777777" w:rsidR="00790CC6" w:rsidRPr="00CD62D1" w:rsidRDefault="00790CC6" w:rsidP="00790CC6">
      <w:pPr>
        <w:pStyle w:val="Pa2"/>
        <w:widowControl/>
        <w:numPr>
          <w:ilvl w:val="0"/>
          <w:numId w:val="10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Channels for reporting concerns, complaints or violations</w:t>
      </w:r>
    </w:p>
    <w:p w14:paraId="050BF441" w14:textId="77777777" w:rsidR="00790CC6" w:rsidRPr="00CD62D1" w:rsidRDefault="00790CC6" w:rsidP="00790CC6">
      <w:pPr>
        <w:pStyle w:val="Pa2"/>
        <w:widowControl/>
        <w:numPr>
          <w:ilvl w:val="1"/>
          <w:numId w:val="10"/>
        </w:numPr>
        <w:spacing w:line="240" w:lineRule="auto"/>
        <w:ind w:left="1080" w:hanging="18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Hotline</w:t>
      </w:r>
    </w:p>
    <w:p w14:paraId="36A608F4" w14:textId="77777777" w:rsidR="00790CC6" w:rsidRPr="00CD62D1" w:rsidRDefault="00790CC6" w:rsidP="00790CC6">
      <w:pPr>
        <w:pStyle w:val="Default"/>
        <w:numPr>
          <w:ilvl w:val="1"/>
          <w:numId w:val="10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Website</w:t>
      </w:r>
    </w:p>
    <w:p w14:paraId="1AB239FB" w14:textId="77777777" w:rsidR="00790CC6" w:rsidRPr="00CD62D1" w:rsidRDefault="00790CC6" w:rsidP="00790CC6">
      <w:pPr>
        <w:pStyle w:val="Default"/>
        <w:numPr>
          <w:ilvl w:val="1"/>
          <w:numId w:val="10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Electronic mail (“email”) address</w:t>
      </w:r>
    </w:p>
    <w:p w14:paraId="426714A5" w14:textId="77777777" w:rsidR="00790CC6" w:rsidRPr="00CD62D1" w:rsidRDefault="00790CC6" w:rsidP="00790CC6">
      <w:pPr>
        <w:pStyle w:val="Default"/>
        <w:numPr>
          <w:ilvl w:val="1"/>
          <w:numId w:val="10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Letters to board of directors or designated personnel</w:t>
      </w:r>
    </w:p>
    <w:p w14:paraId="078FDC34" w14:textId="77777777" w:rsidR="00790CC6" w:rsidRPr="00CD62D1" w:rsidRDefault="00790CC6" w:rsidP="00790CC6">
      <w:pPr>
        <w:pStyle w:val="Default"/>
        <w:numPr>
          <w:ilvl w:val="1"/>
          <w:numId w:val="10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Chain-of-command</w:t>
      </w:r>
    </w:p>
    <w:p w14:paraId="34FF7DB3" w14:textId="77777777" w:rsidR="00790CC6" w:rsidRPr="00CD62D1" w:rsidRDefault="00790CC6" w:rsidP="00790CC6">
      <w:pPr>
        <w:pStyle w:val="Default"/>
        <w:numPr>
          <w:ilvl w:val="1"/>
          <w:numId w:val="10"/>
        </w:numPr>
        <w:ind w:left="1080" w:hanging="180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Open door policy</w:t>
      </w:r>
    </w:p>
    <w:p w14:paraId="48860874" w14:textId="77777777" w:rsidR="00790CC6" w:rsidRPr="00CD62D1" w:rsidRDefault="00790CC6" w:rsidP="00790CC6">
      <w:pPr>
        <w:pStyle w:val="Pa2"/>
        <w:widowControl/>
        <w:numPr>
          <w:ilvl w:val="0"/>
          <w:numId w:val="10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Anonymous reporting vs. confidentiality reporting</w:t>
      </w:r>
    </w:p>
    <w:p w14:paraId="58FF2E78" w14:textId="77777777" w:rsidR="00790CC6" w:rsidRPr="00CD62D1" w:rsidRDefault="00790CC6" w:rsidP="00790CC6">
      <w:pPr>
        <w:pStyle w:val="Pa2"/>
        <w:widowControl/>
        <w:numPr>
          <w:ilvl w:val="0"/>
          <w:numId w:val="10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Anti-retaliation or whistleblower protection statement for personnel who report concerns, complaints or violations of fraud</w:t>
      </w:r>
    </w:p>
    <w:p w14:paraId="50A693C0" w14:textId="77777777" w:rsidR="008E2324" w:rsidRPr="00CD62D1" w:rsidRDefault="00790CC6" w:rsidP="00790CC6">
      <w:pPr>
        <w:pStyle w:val="Pa2"/>
        <w:widowControl/>
        <w:numPr>
          <w:ilvl w:val="0"/>
          <w:numId w:val="10"/>
        </w:numPr>
        <w:spacing w:line="240" w:lineRule="auto"/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Reporting by third parties</w:t>
      </w:r>
    </w:p>
    <w:p w14:paraId="217F04A5" w14:textId="77777777" w:rsidR="00790CC6" w:rsidRPr="00CD62D1" w:rsidRDefault="00790CC6" w:rsidP="00790CC6">
      <w:pPr>
        <w:pStyle w:val="Default"/>
        <w:rPr>
          <w:rFonts w:asciiTheme="majorHAnsi" w:hAnsiTheme="majorHAnsi"/>
        </w:rPr>
      </w:pPr>
    </w:p>
    <w:p w14:paraId="20E1E3E4" w14:textId="77777777" w:rsidR="00E47C7D" w:rsidRPr="00CD62D1" w:rsidRDefault="00E47C7D" w:rsidP="008E2324">
      <w:pPr>
        <w:pStyle w:val="Pa2"/>
        <w:widowControl/>
        <w:numPr>
          <w:ilvl w:val="0"/>
          <w:numId w:val="1"/>
        </w:numPr>
        <w:spacing w:line="240" w:lineRule="auto"/>
        <w:ind w:left="36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Investigation Procedures</w:t>
      </w:r>
    </w:p>
    <w:p w14:paraId="14F07347" w14:textId="77777777" w:rsidR="008E2324" w:rsidRPr="00CD62D1" w:rsidRDefault="00E47C7D" w:rsidP="00E47C7D">
      <w:pPr>
        <w:pStyle w:val="Pa2"/>
        <w:widowControl/>
        <w:numPr>
          <w:ilvl w:val="0"/>
          <w:numId w:val="15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 xml:space="preserve">Evaluation of </w:t>
      </w:r>
      <w:r w:rsidR="00A61A23" w:rsidRPr="00CD62D1">
        <w:rPr>
          <w:rFonts w:asciiTheme="majorHAnsi" w:hAnsiTheme="majorHAnsi" w:cs="Arial"/>
          <w:color w:val="221E1F"/>
        </w:rPr>
        <w:t>reports</w:t>
      </w:r>
    </w:p>
    <w:p w14:paraId="67832F46" w14:textId="77777777" w:rsidR="00E47C7D" w:rsidRPr="00CD62D1" w:rsidRDefault="00A61A23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Escalation of reports</w:t>
      </w:r>
    </w:p>
    <w:p w14:paraId="2EB99162" w14:textId="77777777" w:rsidR="00A61A23" w:rsidRPr="00CD62D1" w:rsidRDefault="00A61A23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Retention of reports</w:t>
      </w:r>
    </w:p>
    <w:p w14:paraId="200B273B" w14:textId="77777777" w:rsidR="00E47C7D" w:rsidRPr="00CD62D1" w:rsidRDefault="00E47C7D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Investigation resources</w:t>
      </w:r>
    </w:p>
    <w:p w14:paraId="66ECD8F9" w14:textId="77777777" w:rsidR="00E47C7D" w:rsidRPr="00CD62D1" w:rsidRDefault="00E47C7D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Investigation protocols</w:t>
      </w:r>
    </w:p>
    <w:p w14:paraId="274CC0CB" w14:textId="77777777" w:rsidR="00E47C7D" w:rsidRPr="00CD62D1" w:rsidRDefault="00E47C7D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Communicating investigation results</w:t>
      </w:r>
    </w:p>
    <w:p w14:paraId="468CFAA5" w14:textId="77777777" w:rsidR="00E47C7D" w:rsidRPr="00CD62D1" w:rsidRDefault="00E47C7D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Disciplinary action</w:t>
      </w:r>
    </w:p>
    <w:p w14:paraId="2978700C" w14:textId="77777777" w:rsidR="00E47C7D" w:rsidRPr="00CD62D1" w:rsidRDefault="00E47C7D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Corrective action</w:t>
      </w:r>
    </w:p>
    <w:p w14:paraId="0C6F499D" w14:textId="77777777" w:rsidR="00E47C7D" w:rsidRPr="00CD62D1" w:rsidRDefault="00E47C7D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Recovery and restitution</w:t>
      </w:r>
    </w:p>
    <w:p w14:paraId="2467C9EE" w14:textId="77777777" w:rsidR="008B6AD6" w:rsidRPr="00CD62D1" w:rsidRDefault="008B6AD6" w:rsidP="00E47C7D">
      <w:pPr>
        <w:pStyle w:val="Default"/>
        <w:numPr>
          <w:ilvl w:val="0"/>
          <w:numId w:val="15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Evaluation of investigation performance</w:t>
      </w:r>
    </w:p>
    <w:p w14:paraId="3CBA6449" w14:textId="77777777" w:rsidR="008E2324" w:rsidRPr="00CD62D1" w:rsidRDefault="008E2324" w:rsidP="008E2324">
      <w:pPr>
        <w:pStyle w:val="Pa2"/>
        <w:widowControl/>
        <w:spacing w:line="240" w:lineRule="auto"/>
        <w:rPr>
          <w:rFonts w:asciiTheme="majorHAnsi" w:hAnsiTheme="majorHAnsi" w:cs="Arial"/>
          <w:color w:val="221E1F"/>
        </w:rPr>
      </w:pPr>
    </w:p>
    <w:p w14:paraId="55A62088" w14:textId="77777777" w:rsidR="008E2324" w:rsidRPr="00CD62D1" w:rsidRDefault="008B6AD6" w:rsidP="008E2324">
      <w:pPr>
        <w:pStyle w:val="Pa2"/>
        <w:widowControl/>
        <w:numPr>
          <w:ilvl w:val="0"/>
          <w:numId w:val="1"/>
        </w:numPr>
        <w:spacing w:line="240" w:lineRule="auto"/>
        <w:ind w:left="360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Fraud Monitoring</w:t>
      </w:r>
      <w:r w:rsidR="00A61A23" w:rsidRPr="00CD62D1">
        <w:rPr>
          <w:rFonts w:asciiTheme="majorHAnsi" w:hAnsiTheme="majorHAnsi" w:cs="Arial"/>
          <w:color w:val="221E1F"/>
        </w:rPr>
        <w:t xml:space="preserve"> Activity</w:t>
      </w:r>
    </w:p>
    <w:p w14:paraId="613ADD57" w14:textId="77777777" w:rsidR="008E2324" w:rsidRPr="00CD62D1" w:rsidRDefault="00A61A23" w:rsidP="00A61A23">
      <w:pPr>
        <w:pStyle w:val="Pa2"/>
        <w:widowControl/>
        <w:numPr>
          <w:ilvl w:val="0"/>
          <w:numId w:val="16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Areas of fraud monitoring evaluation</w:t>
      </w:r>
    </w:p>
    <w:p w14:paraId="2A4A4DF0" w14:textId="77777777" w:rsidR="005507BF" w:rsidRPr="00CD62D1" w:rsidRDefault="00A61A23" w:rsidP="005507BF">
      <w:pPr>
        <w:pStyle w:val="Pa2"/>
        <w:widowControl/>
        <w:numPr>
          <w:ilvl w:val="0"/>
          <w:numId w:val="16"/>
        </w:numPr>
        <w:spacing w:line="240" w:lineRule="auto"/>
        <w:rPr>
          <w:rFonts w:asciiTheme="majorHAnsi" w:hAnsiTheme="majorHAnsi" w:cs="Arial"/>
          <w:color w:val="221E1F"/>
        </w:rPr>
      </w:pPr>
      <w:r w:rsidRPr="00CD62D1">
        <w:rPr>
          <w:rFonts w:asciiTheme="majorHAnsi" w:hAnsiTheme="majorHAnsi" w:cs="Arial"/>
          <w:color w:val="221E1F"/>
        </w:rPr>
        <w:t>Scope and frequency of fraud monitoring evaluation</w:t>
      </w:r>
      <w:r w:rsidR="005507BF" w:rsidRPr="00CD62D1">
        <w:rPr>
          <w:rFonts w:asciiTheme="majorHAnsi" w:hAnsiTheme="majorHAnsi" w:cs="Arial"/>
          <w:color w:val="221E1F"/>
        </w:rPr>
        <w:t xml:space="preserve"> activities</w:t>
      </w:r>
    </w:p>
    <w:p w14:paraId="7F9CC946" w14:textId="77777777" w:rsidR="005507BF" w:rsidRPr="00CD62D1" w:rsidRDefault="005507BF" w:rsidP="005507BF">
      <w:pPr>
        <w:pStyle w:val="Default"/>
        <w:numPr>
          <w:ilvl w:val="0"/>
          <w:numId w:val="16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Fraud monitoring evaluation criteria</w:t>
      </w:r>
    </w:p>
    <w:p w14:paraId="3CE28182" w14:textId="77777777" w:rsidR="005507BF" w:rsidRPr="00CD62D1" w:rsidRDefault="009833CC" w:rsidP="005507BF">
      <w:pPr>
        <w:pStyle w:val="Default"/>
        <w:numPr>
          <w:ilvl w:val="0"/>
          <w:numId w:val="16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lastRenderedPageBreak/>
        <w:t>Sources of information (or “data inputs”)</w:t>
      </w:r>
      <w:r w:rsidR="005507BF" w:rsidRPr="00CD62D1">
        <w:rPr>
          <w:rFonts w:asciiTheme="majorHAnsi" w:hAnsiTheme="majorHAnsi" w:cs="Arial"/>
        </w:rPr>
        <w:t xml:space="preserve"> for fraud monitoring evaluation activities</w:t>
      </w:r>
    </w:p>
    <w:p w14:paraId="588F3476" w14:textId="77777777" w:rsidR="005507BF" w:rsidRPr="00CD62D1" w:rsidRDefault="009833CC" w:rsidP="005507BF">
      <w:pPr>
        <w:pStyle w:val="Default"/>
        <w:numPr>
          <w:ilvl w:val="0"/>
          <w:numId w:val="16"/>
        </w:numPr>
        <w:rPr>
          <w:rFonts w:asciiTheme="majorHAnsi" w:hAnsiTheme="majorHAnsi" w:cs="Arial"/>
        </w:rPr>
      </w:pPr>
      <w:r w:rsidRPr="00CD62D1">
        <w:rPr>
          <w:rFonts w:asciiTheme="majorHAnsi" w:hAnsiTheme="majorHAnsi" w:cs="Arial"/>
        </w:rPr>
        <w:t>Communicating</w:t>
      </w:r>
      <w:r w:rsidR="005507BF" w:rsidRPr="00CD62D1">
        <w:rPr>
          <w:rFonts w:asciiTheme="majorHAnsi" w:hAnsiTheme="majorHAnsi" w:cs="Arial"/>
        </w:rPr>
        <w:t xml:space="preserve"> results of fraud monitoring evaluation activities</w:t>
      </w:r>
    </w:p>
    <w:p w14:paraId="08DC83B6" w14:textId="77777777" w:rsidR="008E2324" w:rsidRPr="00CD62D1" w:rsidRDefault="008E2324" w:rsidP="008E2324">
      <w:pPr>
        <w:pStyle w:val="Pa2"/>
        <w:widowControl/>
        <w:spacing w:line="240" w:lineRule="auto"/>
        <w:rPr>
          <w:rFonts w:asciiTheme="majorHAnsi" w:hAnsiTheme="majorHAnsi" w:cs="Arial"/>
          <w:color w:val="221E1F"/>
        </w:rPr>
      </w:pPr>
    </w:p>
    <w:p w14:paraId="0EB5A5BA" w14:textId="77777777" w:rsidR="007C2403" w:rsidRPr="00CD62D1" w:rsidRDefault="007C2403">
      <w:pPr>
        <w:rPr>
          <w:rFonts w:asciiTheme="majorHAnsi" w:hAnsiTheme="majorHAnsi" w:cs="Arial"/>
        </w:rPr>
      </w:pPr>
    </w:p>
    <w:sectPr w:rsidR="007C2403" w:rsidRPr="00CD62D1" w:rsidSect="00953A2B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82556" w14:textId="77777777" w:rsidR="00AB5E64" w:rsidRDefault="00AB5E64" w:rsidP="008E2324">
      <w:r>
        <w:separator/>
      </w:r>
    </w:p>
  </w:endnote>
  <w:endnote w:type="continuationSeparator" w:id="0">
    <w:p w14:paraId="69B86E43" w14:textId="77777777" w:rsidR="00AB5E64" w:rsidRDefault="00AB5E64" w:rsidP="008E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Frutiger 47Light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rutiger 57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55 Roma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0B6B9" w14:textId="77777777" w:rsidR="00014AF0" w:rsidRDefault="00014AF0" w:rsidP="007B71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BEA701" w14:textId="77777777" w:rsidR="00014AF0" w:rsidRDefault="00014AF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BFDF2" w14:textId="77777777" w:rsidR="00014AF0" w:rsidRPr="00014AF0" w:rsidRDefault="00014AF0" w:rsidP="007B71C2">
    <w:pPr>
      <w:pStyle w:val="Footer"/>
      <w:framePr w:wrap="around" w:vAnchor="text" w:hAnchor="margin" w:xAlign="center" w:y="1"/>
      <w:rPr>
        <w:rStyle w:val="PageNumber"/>
        <w:rFonts w:asciiTheme="majorHAnsi" w:hAnsiTheme="majorHAnsi"/>
      </w:rPr>
    </w:pPr>
    <w:r w:rsidRPr="00014AF0">
      <w:rPr>
        <w:rStyle w:val="PageNumber"/>
        <w:rFonts w:asciiTheme="majorHAnsi" w:hAnsiTheme="majorHAnsi"/>
      </w:rPr>
      <w:t>-</w:t>
    </w:r>
    <w:r w:rsidR="00EB1830">
      <w:rPr>
        <w:rStyle w:val="PageNumber"/>
        <w:rFonts w:asciiTheme="majorHAnsi" w:hAnsiTheme="majorHAnsi"/>
      </w:rPr>
      <w:t>- F1</w:t>
    </w:r>
    <w:r w:rsidRPr="00014AF0">
      <w:rPr>
        <w:rStyle w:val="PageNumber"/>
        <w:rFonts w:asciiTheme="majorHAnsi" w:hAnsiTheme="majorHAnsi"/>
      </w:rPr>
      <w:t>-</w:t>
    </w:r>
    <w:r w:rsidRPr="00014AF0">
      <w:rPr>
        <w:rStyle w:val="PageNumber"/>
        <w:rFonts w:asciiTheme="majorHAnsi" w:hAnsiTheme="majorHAnsi"/>
      </w:rPr>
      <w:fldChar w:fldCharType="begin"/>
    </w:r>
    <w:r w:rsidRPr="00014AF0">
      <w:rPr>
        <w:rStyle w:val="PageNumber"/>
        <w:rFonts w:asciiTheme="majorHAnsi" w:hAnsiTheme="majorHAnsi"/>
      </w:rPr>
      <w:instrText xml:space="preserve">PAGE  </w:instrText>
    </w:r>
    <w:r w:rsidRPr="00014AF0">
      <w:rPr>
        <w:rStyle w:val="PageNumber"/>
        <w:rFonts w:asciiTheme="majorHAnsi" w:hAnsiTheme="majorHAnsi"/>
      </w:rPr>
      <w:fldChar w:fldCharType="separate"/>
    </w:r>
    <w:r w:rsidR="00EB1830">
      <w:rPr>
        <w:rStyle w:val="PageNumber"/>
        <w:rFonts w:asciiTheme="majorHAnsi" w:hAnsiTheme="majorHAnsi"/>
        <w:noProof/>
      </w:rPr>
      <w:t>1</w:t>
    </w:r>
    <w:r w:rsidRPr="00014AF0">
      <w:rPr>
        <w:rStyle w:val="PageNumber"/>
        <w:rFonts w:asciiTheme="majorHAnsi" w:hAnsiTheme="majorHAnsi"/>
      </w:rPr>
      <w:fldChar w:fldCharType="end"/>
    </w:r>
    <w:r w:rsidRPr="00014AF0">
      <w:rPr>
        <w:rStyle w:val="PageNumber"/>
        <w:rFonts w:asciiTheme="majorHAnsi" w:hAnsiTheme="majorHAnsi"/>
      </w:rPr>
      <w:t xml:space="preserve"> --</w:t>
    </w:r>
  </w:p>
  <w:p w14:paraId="722A15A9" w14:textId="77777777" w:rsidR="00014AF0" w:rsidRDefault="00014AF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3846B" w14:textId="77777777" w:rsidR="00AB5E64" w:rsidRDefault="00AB5E64" w:rsidP="008E2324">
      <w:r>
        <w:separator/>
      </w:r>
    </w:p>
  </w:footnote>
  <w:footnote w:type="continuationSeparator" w:id="0">
    <w:p w14:paraId="680827BF" w14:textId="77777777" w:rsidR="00AB5E64" w:rsidRDefault="00AB5E64" w:rsidP="008E2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8C5"/>
    <w:multiLevelType w:val="hybridMultilevel"/>
    <w:tmpl w:val="548615A6"/>
    <w:lvl w:ilvl="0" w:tplc="A10EFDEE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795C"/>
    <w:multiLevelType w:val="hybridMultilevel"/>
    <w:tmpl w:val="1F4871A6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60C7DB2">
      <w:start w:val="1"/>
      <w:numFmt w:val="lowerRoman"/>
      <w:lvlText w:val="%2."/>
      <w:lvlJc w:val="right"/>
      <w:pPr>
        <w:ind w:left="1440" w:hanging="360"/>
      </w:pPr>
      <w:rPr>
        <w:rFonts w:hint="default"/>
        <w:color w:val="auto"/>
        <w:sz w:val="22"/>
      </w:rPr>
    </w:lvl>
    <w:lvl w:ilvl="2" w:tplc="90466202">
      <w:start w:val="1"/>
      <w:numFmt w:val="lowerLetter"/>
      <w:lvlText w:val="%3."/>
      <w:lvlJc w:val="left"/>
      <w:pPr>
        <w:ind w:left="2160" w:hanging="180"/>
      </w:pPr>
      <w:rPr>
        <w:rFonts w:hint="default"/>
        <w:b w:val="0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079BC"/>
    <w:multiLevelType w:val="hybridMultilevel"/>
    <w:tmpl w:val="0CDA8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20B19"/>
    <w:multiLevelType w:val="hybridMultilevel"/>
    <w:tmpl w:val="E00A7EDA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60C7DB2">
      <w:start w:val="1"/>
      <w:numFmt w:val="lowerRoman"/>
      <w:lvlText w:val="%2."/>
      <w:lvlJc w:val="right"/>
      <w:pPr>
        <w:ind w:left="1440" w:hanging="360"/>
      </w:pPr>
      <w:rPr>
        <w:rFonts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66724"/>
    <w:multiLevelType w:val="hybridMultilevel"/>
    <w:tmpl w:val="4202BE2A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60C7DB2">
      <w:start w:val="1"/>
      <w:numFmt w:val="lowerRoman"/>
      <w:lvlText w:val="%2."/>
      <w:lvlJc w:val="right"/>
      <w:pPr>
        <w:ind w:left="1440" w:hanging="360"/>
      </w:pPr>
      <w:rPr>
        <w:rFonts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41DB4"/>
    <w:multiLevelType w:val="hybridMultilevel"/>
    <w:tmpl w:val="7C66C1E6"/>
    <w:lvl w:ilvl="0" w:tplc="0AC203A0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cs="Arial" w:hint="default"/>
        <w:b/>
        <w:i w:val="0"/>
        <w:color w:val="auto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65B0D"/>
    <w:multiLevelType w:val="hybridMultilevel"/>
    <w:tmpl w:val="9B50BE40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60C7DB2">
      <w:start w:val="1"/>
      <w:numFmt w:val="lowerRoman"/>
      <w:lvlText w:val="%2."/>
      <w:lvlJc w:val="right"/>
      <w:pPr>
        <w:ind w:left="1440" w:hanging="360"/>
      </w:pPr>
      <w:rPr>
        <w:rFonts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30218"/>
    <w:multiLevelType w:val="hybridMultilevel"/>
    <w:tmpl w:val="1CC2886C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A1E20"/>
    <w:multiLevelType w:val="hybridMultilevel"/>
    <w:tmpl w:val="1E2E34C8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60C7DB2">
      <w:start w:val="1"/>
      <w:numFmt w:val="lowerRoman"/>
      <w:lvlText w:val="%2."/>
      <w:lvlJc w:val="right"/>
      <w:pPr>
        <w:ind w:left="1440" w:hanging="360"/>
      </w:pPr>
      <w:rPr>
        <w:rFonts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4682B"/>
    <w:multiLevelType w:val="hybridMultilevel"/>
    <w:tmpl w:val="928CA0C2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06E3A"/>
    <w:multiLevelType w:val="hybridMultilevel"/>
    <w:tmpl w:val="0E38B4CA"/>
    <w:lvl w:ilvl="0" w:tplc="E5906F8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9222A"/>
    <w:multiLevelType w:val="hybridMultilevel"/>
    <w:tmpl w:val="21EA5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264B4"/>
    <w:multiLevelType w:val="hybridMultilevel"/>
    <w:tmpl w:val="F006BB02"/>
    <w:lvl w:ilvl="0" w:tplc="B4BAD73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363E2"/>
    <w:multiLevelType w:val="hybridMultilevel"/>
    <w:tmpl w:val="9078F2F0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25CA7"/>
    <w:multiLevelType w:val="hybridMultilevel"/>
    <w:tmpl w:val="B2587E88"/>
    <w:lvl w:ilvl="0" w:tplc="060C7DB2">
      <w:start w:val="1"/>
      <w:numFmt w:val="lowerRoman"/>
      <w:lvlText w:val="%1."/>
      <w:lvlJc w:val="right"/>
      <w:pPr>
        <w:ind w:left="108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616360"/>
    <w:multiLevelType w:val="hybridMultilevel"/>
    <w:tmpl w:val="47CA8950"/>
    <w:lvl w:ilvl="0" w:tplc="A94A01C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8484A"/>
    <w:multiLevelType w:val="hybridMultilevel"/>
    <w:tmpl w:val="03BCAF50"/>
    <w:lvl w:ilvl="0" w:tplc="060C7DB2">
      <w:start w:val="1"/>
      <w:numFmt w:val="lowerRoman"/>
      <w:lvlText w:val="%1."/>
      <w:lvlJc w:val="righ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5"/>
  </w:num>
  <w:num w:numId="5">
    <w:abstractNumId w:val="1"/>
  </w:num>
  <w:num w:numId="6">
    <w:abstractNumId w:val="2"/>
  </w:num>
  <w:num w:numId="7">
    <w:abstractNumId w:val="4"/>
  </w:num>
  <w:num w:numId="8">
    <w:abstractNumId w:val="16"/>
  </w:num>
  <w:num w:numId="9">
    <w:abstractNumId w:val="7"/>
  </w:num>
  <w:num w:numId="10">
    <w:abstractNumId w:val="3"/>
  </w:num>
  <w:num w:numId="11">
    <w:abstractNumId w:val="6"/>
  </w:num>
  <w:num w:numId="12">
    <w:abstractNumId w:val="10"/>
  </w:num>
  <w:num w:numId="13">
    <w:abstractNumId w:val="13"/>
  </w:num>
  <w:num w:numId="14">
    <w:abstractNumId w:val="8"/>
  </w:num>
  <w:num w:numId="15">
    <w:abstractNumId w:val="9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24"/>
    <w:rsid w:val="00014AF0"/>
    <w:rsid w:val="000C0566"/>
    <w:rsid w:val="001E487D"/>
    <w:rsid w:val="0021630A"/>
    <w:rsid w:val="00252137"/>
    <w:rsid w:val="00260C6D"/>
    <w:rsid w:val="005507BF"/>
    <w:rsid w:val="00687CF2"/>
    <w:rsid w:val="00790CC6"/>
    <w:rsid w:val="007C2403"/>
    <w:rsid w:val="00837DE5"/>
    <w:rsid w:val="008B6AD6"/>
    <w:rsid w:val="008E2324"/>
    <w:rsid w:val="008F360D"/>
    <w:rsid w:val="00953A2B"/>
    <w:rsid w:val="009833CC"/>
    <w:rsid w:val="009A09FE"/>
    <w:rsid w:val="00A61A23"/>
    <w:rsid w:val="00AB5E64"/>
    <w:rsid w:val="00AD5EF3"/>
    <w:rsid w:val="00BC14E6"/>
    <w:rsid w:val="00BF0237"/>
    <w:rsid w:val="00CD62D1"/>
    <w:rsid w:val="00E47C7D"/>
    <w:rsid w:val="00E53EF0"/>
    <w:rsid w:val="00E92C44"/>
    <w:rsid w:val="00EB1830"/>
    <w:rsid w:val="00ED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494D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32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8E2324"/>
    <w:pPr>
      <w:widowControl w:val="0"/>
      <w:autoSpaceDE w:val="0"/>
      <w:autoSpaceDN w:val="0"/>
      <w:adjustRightInd w:val="0"/>
    </w:pPr>
    <w:rPr>
      <w:rFonts w:ascii="Frutiger 47LightCn" w:eastAsia="Times New Roman" w:hAnsi="Frutiger 47LightCn" w:cs="Frutiger 47LightCn"/>
      <w:color w:val="000000"/>
    </w:rPr>
  </w:style>
  <w:style w:type="paragraph" w:customStyle="1" w:styleId="Pa2">
    <w:name w:val="Pa2"/>
    <w:basedOn w:val="Default"/>
    <w:next w:val="Default"/>
    <w:uiPriority w:val="99"/>
    <w:rsid w:val="008E2324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8E2324"/>
    <w:pPr>
      <w:spacing w:line="321" w:lineRule="atLeast"/>
    </w:pPr>
    <w:rPr>
      <w:rFonts w:cs="Times New Roman"/>
      <w:color w:val="auto"/>
    </w:rPr>
  </w:style>
  <w:style w:type="character" w:styleId="FootnoteReference">
    <w:name w:val="footnote reference"/>
    <w:basedOn w:val="DefaultParagraphFont"/>
    <w:uiPriority w:val="99"/>
    <w:semiHidden/>
    <w:unhideWhenUsed/>
    <w:rsid w:val="008E23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3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32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4E6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4A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AF0"/>
  </w:style>
  <w:style w:type="character" w:styleId="PageNumber">
    <w:name w:val="page number"/>
    <w:basedOn w:val="DefaultParagraphFont"/>
    <w:uiPriority w:val="99"/>
    <w:semiHidden/>
    <w:unhideWhenUsed/>
    <w:rsid w:val="00014AF0"/>
  </w:style>
  <w:style w:type="paragraph" w:styleId="Header">
    <w:name w:val="header"/>
    <w:basedOn w:val="Normal"/>
    <w:link w:val="HeaderChar"/>
    <w:uiPriority w:val="99"/>
    <w:unhideWhenUsed/>
    <w:rsid w:val="00014A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A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32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8E2324"/>
    <w:pPr>
      <w:widowControl w:val="0"/>
      <w:autoSpaceDE w:val="0"/>
      <w:autoSpaceDN w:val="0"/>
      <w:adjustRightInd w:val="0"/>
    </w:pPr>
    <w:rPr>
      <w:rFonts w:ascii="Frutiger 47LightCn" w:eastAsia="Times New Roman" w:hAnsi="Frutiger 47LightCn" w:cs="Frutiger 47LightCn"/>
      <w:color w:val="000000"/>
    </w:rPr>
  </w:style>
  <w:style w:type="paragraph" w:customStyle="1" w:styleId="Pa2">
    <w:name w:val="Pa2"/>
    <w:basedOn w:val="Default"/>
    <w:next w:val="Default"/>
    <w:uiPriority w:val="99"/>
    <w:rsid w:val="008E2324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8E2324"/>
    <w:pPr>
      <w:spacing w:line="321" w:lineRule="atLeast"/>
    </w:pPr>
    <w:rPr>
      <w:rFonts w:cs="Times New Roman"/>
      <w:color w:val="auto"/>
    </w:rPr>
  </w:style>
  <w:style w:type="character" w:styleId="FootnoteReference">
    <w:name w:val="footnote reference"/>
    <w:basedOn w:val="DefaultParagraphFont"/>
    <w:uiPriority w:val="99"/>
    <w:semiHidden/>
    <w:unhideWhenUsed/>
    <w:rsid w:val="008E23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3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32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4E6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4A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AF0"/>
  </w:style>
  <w:style w:type="character" w:styleId="PageNumber">
    <w:name w:val="page number"/>
    <w:basedOn w:val="DefaultParagraphFont"/>
    <w:uiPriority w:val="99"/>
    <w:semiHidden/>
    <w:unhideWhenUsed/>
    <w:rsid w:val="00014AF0"/>
  </w:style>
  <w:style w:type="paragraph" w:styleId="Header">
    <w:name w:val="header"/>
    <w:basedOn w:val="Normal"/>
    <w:link w:val="HeaderChar"/>
    <w:uiPriority w:val="99"/>
    <w:unhideWhenUsed/>
    <w:rsid w:val="00014A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418</Words>
  <Characters>2383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Cotton &amp; Company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Cotton, David L.</dc:creator>
  <cp:lastModifiedBy>Cotton, David L.</cp:lastModifiedBy>
  <cp:revision>3</cp:revision>
  <cp:lastPrinted>2015-12-22T16:56:00Z</cp:lastPrinted>
  <dcterms:created xsi:type="dcterms:W3CDTF">2015-12-22T16:56:00Z</dcterms:created>
  <dcterms:modified xsi:type="dcterms:W3CDTF">2015-12-22T16:59:00Z</dcterms:modified>
</cp:coreProperties>
</file>